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CB2F6">
      <w:pPr>
        <w:spacing w:line="360" w:lineRule="auto"/>
        <w:jc w:val="center"/>
        <w:rPr>
          <w:rFonts w:hint="eastAsia" w:ascii="黑体" w:hAnsi="黑体" w:eastAsia="黑体"/>
          <w:b/>
          <w:bCs/>
          <w:sz w:val="28"/>
          <w:szCs w:val="32"/>
        </w:rPr>
      </w:pPr>
      <w:r>
        <w:rPr>
          <w:rFonts w:hint="eastAsia" w:ascii="黑体" w:hAnsi="黑体" w:eastAsia="黑体"/>
          <w:b/>
          <w:bCs/>
          <w:sz w:val="28"/>
          <w:szCs w:val="32"/>
        </w:rPr>
        <w:t>终止/暂停研究报告</w:t>
      </w:r>
    </w:p>
    <w:tbl>
      <w:tblPr>
        <w:tblStyle w:val="5"/>
        <w:tblW w:w="8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597"/>
        <w:gridCol w:w="1534"/>
        <w:gridCol w:w="278"/>
        <w:gridCol w:w="2271"/>
        <w:gridCol w:w="138"/>
        <w:gridCol w:w="2411"/>
      </w:tblGrid>
      <w:tr w14:paraId="66596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268" w:type="dxa"/>
            <w:gridSpan w:val="2"/>
            <w:vAlign w:val="center"/>
          </w:tcPr>
          <w:p w14:paraId="1DFA5DD6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项目名称</w:t>
            </w:r>
          </w:p>
        </w:tc>
        <w:tc>
          <w:tcPr>
            <w:tcW w:w="6632" w:type="dxa"/>
            <w:gridSpan w:val="5"/>
            <w:vAlign w:val="center"/>
          </w:tcPr>
          <w:p w14:paraId="28EEA5BF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</w:tr>
      <w:tr w14:paraId="4A971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268" w:type="dxa"/>
            <w:gridSpan w:val="2"/>
            <w:vAlign w:val="center"/>
          </w:tcPr>
          <w:p w14:paraId="0E477084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临床研究类别</w:t>
            </w:r>
          </w:p>
        </w:tc>
        <w:tc>
          <w:tcPr>
            <w:tcW w:w="6632" w:type="dxa"/>
            <w:gridSpan w:val="5"/>
            <w:vAlign w:val="center"/>
          </w:tcPr>
          <w:p w14:paraId="65B4225C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□药物临床试验                  □医疗器械临床试验   </w:t>
            </w:r>
          </w:p>
        </w:tc>
      </w:tr>
      <w:tr w14:paraId="789F3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268" w:type="dxa"/>
            <w:gridSpan w:val="2"/>
            <w:vAlign w:val="center"/>
          </w:tcPr>
          <w:p w14:paraId="2224CF79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申办方</w:t>
            </w:r>
          </w:p>
        </w:tc>
        <w:tc>
          <w:tcPr>
            <w:tcW w:w="6632" w:type="dxa"/>
            <w:gridSpan w:val="5"/>
            <w:vAlign w:val="center"/>
          </w:tcPr>
          <w:p w14:paraId="79381C36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</w:p>
        </w:tc>
      </w:tr>
      <w:tr w14:paraId="5CC53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268" w:type="dxa"/>
            <w:gridSpan w:val="2"/>
            <w:vAlign w:val="center"/>
          </w:tcPr>
          <w:p w14:paraId="0F7B5250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主要</w:t>
            </w:r>
            <w:bookmarkStart w:id="0" w:name="_GoBack"/>
            <w:r>
              <w:rPr>
                <w:rFonts w:hint="eastAsia" w:ascii="宋体" w:hAnsi="宋体" w:eastAsia="宋体" w:cs="仿宋"/>
                <w:color w:val="000000"/>
                <w:szCs w:val="21"/>
              </w:rPr>
              <w:t>研究者</w:t>
            </w:r>
            <w:bookmarkEnd w:id="0"/>
          </w:p>
        </w:tc>
        <w:tc>
          <w:tcPr>
            <w:tcW w:w="1534" w:type="dxa"/>
            <w:vAlign w:val="center"/>
          </w:tcPr>
          <w:p w14:paraId="0911931E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0245A764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承担科室</w:t>
            </w:r>
          </w:p>
        </w:tc>
        <w:tc>
          <w:tcPr>
            <w:tcW w:w="2549" w:type="dxa"/>
            <w:gridSpan w:val="2"/>
            <w:vAlign w:val="center"/>
          </w:tcPr>
          <w:p w14:paraId="4533515D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</w:p>
        </w:tc>
      </w:tr>
      <w:tr w14:paraId="54D14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268" w:type="dxa"/>
            <w:gridSpan w:val="2"/>
            <w:vAlign w:val="center"/>
          </w:tcPr>
          <w:p w14:paraId="143AE766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递交材料</w:t>
            </w:r>
          </w:p>
        </w:tc>
        <w:tc>
          <w:tcPr>
            <w:tcW w:w="6632" w:type="dxa"/>
            <w:gridSpan w:val="5"/>
            <w:vAlign w:val="center"/>
          </w:tcPr>
          <w:p w14:paraId="32CBF060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</w:p>
        </w:tc>
      </w:tr>
      <w:tr w14:paraId="42876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8900" w:type="dxa"/>
            <w:gridSpan w:val="7"/>
            <w:vAlign w:val="center"/>
          </w:tcPr>
          <w:p w14:paraId="7CC98DC0">
            <w:pPr>
              <w:spacing w:line="360" w:lineRule="auto"/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  <w:t>一、一般信息</w:t>
            </w:r>
          </w:p>
          <w:p w14:paraId="5B4FF92E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1.研究阶段：□尚未入组 □已入组，正在实施研究 □完成入组，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研究干预尚未完成  </w:t>
            </w:r>
          </w:p>
          <w:p w14:paraId="2617526C">
            <w:pPr>
              <w:spacing w:line="360" w:lineRule="auto"/>
              <w:ind w:firstLine="210" w:firstLineChars="100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的研究干预已经完成   □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的随访已经完成  □后期数据处理阶段</w:t>
            </w:r>
          </w:p>
          <w:p w14:paraId="67C1C49C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2.研究开始日期：_________________（未启动不用填写）</w:t>
            </w:r>
          </w:p>
          <w:p w14:paraId="0FA08A8A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3.研究报告申请类型：□暂停     □终止      </w:t>
            </w:r>
          </w:p>
          <w:p w14:paraId="1CEF78E5">
            <w:pPr>
              <w:tabs>
                <w:tab w:val="left" w:pos="425"/>
              </w:tabs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  <w:t>二、</w:t>
            </w:r>
            <w:r>
              <w:rPr>
                <w:rFonts w:hint="eastAsia" w:ascii="宋体" w:hAnsi="宋体" w:eastAsia="宋体" w:cs="仿宋"/>
                <w:b/>
                <w:bCs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  <w:t>信息</w:t>
            </w:r>
          </w:p>
          <w:p w14:paraId="29FDBBD7">
            <w:pPr>
              <w:tabs>
                <w:tab w:val="left" w:pos="425"/>
              </w:tabs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1.合同研究总例数：</w:t>
            </w:r>
            <w:r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例</w:t>
            </w:r>
          </w:p>
          <w:p w14:paraId="061BE7FF">
            <w:pPr>
              <w:tabs>
                <w:tab w:val="left" w:pos="425"/>
              </w:tabs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2.已入组例数：</w:t>
            </w:r>
            <w:r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例</w:t>
            </w:r>
          </w:p>
          <w:p w14:paraId="779FE0A6">
            <w:pPr>
              <w:tabs>
                <w:tab w:val="left" w:pos="425"/>
              </w:tabs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3.完成观察例数：</w:t>
            </w:r>
            <w:r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例</w:t>
            </w:r>
          </w:p>
          <w:p w14:paraId="4B7A374A">
            <w:pPr>
              <w:tabs>
                <w:tab w:val="left" w:pos="425"/>
              </w:tabs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4.提前退出例数：</w:t>
            </w:r>
            <w:r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例（请另附“提前退出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一览表”）</w:t>
            </w:r>
          </w:p>
          <w:p w14:paraId="2AA7FCCF">
            <w:pPr>
              <w:tabs>
                <w:tab w:val="left" w:pos="425"/>
              </w:tabs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5.SAE/SUSAR例数：</w:t>
            </w:r>
            <w:r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例（请另附“SAE/SUSAR一览表”）</w:t>
            </w:r>
          </w:p>
          <w:p w14:paraId="099A4C65">
            <w:pPr>
              <w:tabs>
                <w:tab w:val="left" w:pos="425"/>
              </w:tabs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6.研究过程中，发生的违背/偏离方案事件</w:t>
            </w:r>
            <w:r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  <w:t xml:space="preserve">：  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例次（请另附“违背/偏离方案一览表”）</w:t>
            </w:r>
          </w:p>
          <w:p w14:paraId="7F718532">
            <w:pPr>
              <w:tabs>
                <w:tab w:val="left" w:pos="425"/>
              </w:tabs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  <w:t>三、暂停/终止研究的原因</w:t>
            </w:r>
            <w:r>
              <w:rPr>
                <w:rFonts w:hint="eastAsia" w:ascii="宋体" w:hAnsi="宋体" w:eastAsia="宋体" w:cs="仿宋"/>
                <w:bCs/>
                <w:color w:val="000000"/>
                <w:szCs w:val="21"/>
              </w:rPr>
              <w:t>（可另附页说明）</w:t>
            </w:r>
          </w:p>
          <w:p w14:paraId="410FCC72">
            <w:pPr>
              <w:spacing w:line="360" w:lineRule="auto"/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  <w:t>四、有序终止研究的程序</w:t>
            </w:r>
          </w:p>
          <w:p w14:paraId="1622FFDE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1.是否要求召回已完成研究的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进行随访：□是    □否   □不适用</w:t>
            </w:r>
          </w:p>
          <w:p w14:paraId="57BEA1F1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2.是否通知在研的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，研究已经提前终止：□是    □否（请另页说明）   □不适用</w:t>
            </w:r>
          </w:p>
          <w:p w14:paraId="47578087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3.在研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是否提前终止研究： □是     □否（请另页说明）   □不适用</w:t>
            </w:r>
          </w:p>
          <w:p w14:paraId="02EA9D0E">
            <w:pPr>
              <w:spacing w:line="360" w:lineRule="auto"/>
              <w:ind w:left="3150" w:hanging="3150" w:hangingChars="1500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4.提前终止研究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的后续医疗与随访安排：□转入常规医疗      </w:t>
            </w:r>
          </w:p>
          <w:p w14:paraId="7D97C5AC">
            <w:pPr>
              <w:spacing w:line="360" w:lineRule="auto"/>
              <w:ind w:firstLine="210" w:firstLineChars="100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□有针对性的安排随访检测与后续治疗（请另页说明）     □不适用</w:t>
            </w:r>
          </w:p>
        </w:tc>
      </w:tr>
      <w:tr w14:paraId="0D52C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71" w:type="dxa"/>
            <w:vAlign w:val="center"/>
          </w:tcPr>
          <w:p w14:paraId="5ED6F131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主要研究者签名</w:t>
            </w:r>
          </w:p>
        </w:tc>
        <w:tc>
          <w:tcPr>
            <w:tcW w:w="2409" w:type="dxa"/>
            <w:gridSpan w:val="3"/>
            <w:vAlign w:val="center"/>
          </w:tcPr>
          <w:p w14:paraId="76EFD497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69BBA55B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  <w:t>日 期</w:t>
            </w:r>
          </w:p>
        </w:tc>
        <w:tc>
          <w:tcPr>
            <w:tcW w:w="2411" w:type="dxa"/>
            <w:vAlign w:val="center"/>
          </w:tcPr>
          <w:p w14:paraId="5EC381AD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</w:tr>
      <w:tr w14:paraId="211EC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900" w:type="dxa"/>
            <w:gridSpan w:val="7"/>
            <w:vAlign w:val="center"/>
          </w:tcPr>
          <w:p w14:paraId="3A9FD798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项目主管部门审核意见</w:t>
            </w:r>
          </w:p>
        </w:tc>
      </w:tr>
      <w:tr w14:paraId="5EC69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900" w:type="dxa"/>
            <w:gridSpan w:val="7"/>
            <w:vAlign w:val="center"/>
          </w:tcPr>
          <w:p w14:paraId="34B6AAE3">
            <w:pPr>
              <w:spacing w:line="360" w:lineRule="auto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 xml:space="preserve">资料完整，符合存档要求 □是 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</w:t>
            </w:r>
            <w:r>
              <w:rPr>
                <w:rFonts w:hint="eastAsia" w:ascii="宋体" w:hAnsi="宋体" w:eastAsia="宋体" w:cs="仿宋"/>
                <w:szCs w:val="21"/>
              </w:rPr>
              <w:t xml:space="preserve">否 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</w:t>
            </w:r>
            <w:r>
              <w:rPr>
                <w:rFonts w:hint="eastAsia" w:ascii="宋体" w:hAnsi="宋体" w:eastAsia="宋体" w:cs="仿宋"/>
                <w:szCs w:val="21"/>
              </w:rPr>
              <w:t xml:space="preserve">不适用       签字：       日期： </w:t>
            </w:r>
          </w:p>
        </w:tc>
      </w:tr>
    </w:tbl>
    <w:p w14:paraId="0417CC7D">
      <w:pPr>
        <w:spacing w:before="120"/>
        <w:ind w:firstLine="420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注：</w:t>
      </w:r>
      <w:r>
        <w:rPr>
          <w:rFonts w:hint="eastAsia" w:ascii="仿宋" w:hAnsi="仿宋" w:eastAsia="仿宋" w:cs="仿宋"/>
          <w:szCs w:val="21"/>
        </w:rPr>
        <w:fldChar w:fldCharType="begin"/>
      </w:r>
      <w:r>
        <w:rPr>
          <w:rFonts w:hint="eastAsia" w:ascii="仿宋" w:hAnsi="仿宋" w:eastAsia="仿宋" w:cs="仿宋"/>
          <w:szCs w:val="21"/>
        </w:rPr>
        <w:instrText xml:space="preserve"> = 1 \* GB3 </w:instrText>
      </w:r>
      <w:r>
        <w:rPr>
          <w:rFonts w:hint="eastAsia" w:ascii="仿宋" w:hAnsi="仿宋" w:eastAsia="仿宋" w:cs="仿宋"/>
          <w:szCs w:val="21"/>
        </w:rPr>
        <w:fldChar w:fldCharType="separate"/>
      </w:r>
      <w:r>
        <w:rPr>
          <w:rFonts w:hint="eastAsia" w:ascii="仿宋" w:hAnsi="仿宋" w:eastAsia="仿宋" w:cs="仿宋"/>
          <w:szCs w:val="21"/>
        </w:rPr>
        <w:t>①</w:t>
      </w:r>
      <w:r>
        <w:rPr>
          <w:rFonts w:hint="eastAsia" w:ascii="仿宋" w:hAnsi="仿宋" w:eastAsia="仿宋" w:cs="仿宋"/>
          <w:szCs w:val="21"/>
        </w:rPr>
        <w:fldChar w:fldCharType="end"/>
      </w:r>
      <w:r>
        <w:rPr>
          <w:rFonts w:hint="eastAsia" w:ascii="仿宋" w:hAnsi="仿宋" w:eastAsia="仿宋" w:cs="仿宋"/>
          <w:szCs w:val="21"/>
        </w:rPr>
        <w:t>“</w:t>
      </w:r>
      <w:r>
        <w:rPr>
          <w:rFonts w:hint="eastAsia" w:ascii="仿宋" w:hAnsi="仿宋" w:eastAsia="仿宋" w:cs="仿宋"/>
          <w:color w:val="000000"/>
          <w:szCs w:val="21"/>
        </w:rPr>
        <w:t>提前退出</w:t>
      </w:r>
      <w:r>
        <w:rPr>
          <w:rFonts w:hint="eastAsia" w:ascii="仿宋" w:hAnsi="仿宋" w:eastAsia="仿宋" w:cs="仿宋"/>
          <w:color w:val="000000"/>
          <w:szCs w:val="21"/>
          <w:lang w:eastAsia="zh-CN"/>
        </w:rPr>
        <w:t>参与者</w:t>
      </w:r>
      <w:r>
        <w:rPr>
          <w:rFonts w:hint="eastAsia" w:ascii="仿宋" w:hAnsi="仿宋" w:eastAsia="仿宋" w:cs="仿宋"/>
          <w:color w:val="000000"/>
          <w:szCs w:val="21"/>
        </w:rPr>
        <w:t>一览表”至少应包括：</w:t>
      </w:r>
      <w:r>
        <w:rPr>
          <w:rFonts w:hint="eastAsia" w:ascii="仿宋" w:hAnsi="仿宋" w:eastAsia="仿宋" w:cs="仿宋"/>
          <w:color w:val="000000"/>
          <w:szCs w:val="21"/>
          <w:lang w:eastAsia="zh-CN"/>
        </w:rPr>
        <w:t>参与者</w:t>
      </w:r>
      <w:r>
        <w:rPr>
          <w:rFonts w:hint="eastAsia" w:ascii="仿宋" w:hAnsi="仿宋" w:eastAsia="仿宋" w:cs="仿宋"/>
          <w:color w:val="000000"/>
          <w:szCs w:val="21"/>
        </w:rPr>
        <w:t>编号、退出原因、退出时</w:t>
      </w:r>
      <w:r>
        <w:rPr>
          <w:rFonts w:hint="eastAsia" w:ascii="仿宋" w:hAnsi="仿宋" w:eastAsia="仿宋" w:cs="仿宋"/>
          <w:color w:val="000000"/>
          <w:szCs w:val="21"/>
          <w:lang w:eastAsia="zh-CN"/>
        </w:rPr>
        <w:t>参与者</w:t>
      </w:r>
      <w:r>
        <w:rPr>
          <w:rFonts w:hint="eastAsia" w:ascii="仿宋" w:hAnsi="仿宋" w:eastAsia="仿宋" w:cs="仿宋"/>
          <w:color w:val="000000"/>
          <w:szCs w:val="21"/>
        </w:rPr>
        <w:t>健康情况。</w:t>
      </w:r>
      <w:r>
        <w:rPr>
          <w:rFonts w:hint="eastAsia" w:ascii="仿宋" w:hAnsi="仿宋" w:eastAsia="仿宋" w:cs="仿宋"/>
          <w:szCs w:val="21"/>
        </w:rPr>
        <w:fldChar w:fldCharType="begin"/>
      </w:r>
      <w:r>
        <w:rPr>
          <w:rFonts w:hint="eastAsia" w:ascii="仿宋" w:hAnsi="仿宋" w:eastAsia="仿宋" w:cs="仿宋"/>
          <w:szCs w:val="21"/>
        </w:rPr>
        <w:instrText xml:space="preserve"> = 2 \* GB3 </w:instrText>
      </w:r>
      <w:r>
        <w:rPr>
          <w:rFonts w:hint="eastAsia" w:ascii="仿宋" w:hAnsi="仿宋" w:eastAsia="仿宋" w:cs="仿宋"/>
          <w:szCs w:val="21"/>
        </w:rPr>
        <w:fldChar w:fldCharType="separate"/>
      </w:r>
      <w:r>
        <w:rPr>
          <w:rFonts w:hint="eastAsia" w:ascii="仿宋" w:hAnsi="仿宋" w:eastAsia="仿宋" w:cs="仿宋"/>
          <w:szCs w:val="21"/>
        </w:rPr>
        <w:t>②</w:t>
      </w:r>
      <w:r>
        <w:rPr>
          <w:rFonts w:hint="eastAsia" w:ascii="仿宋" w:hAnsi="仿宋" w:eastAsia="仿宋" w:cs="仿宋"/>
          <w:szCs w:val="21"/>
        </w:rPr>
        <w:fldChar w:fldCharType="end"/>
      </w:r>
      <w:r>
        <w:rPr>
          <w:rFonts w:hint="eastAsia" w:ascii="仿宋" w:hAnsi="仿宋" w:eastAsia="仿宋" w:cs="仿宋"/>
          <w:color w:val="000000"/>
          <w:szCs w:val="21"/>
        </w:rPr>
        <w:t>“SAE/SUSAR一览表”至少应包括</w:t>
      </w:r>
      <w:r>
        <w:rPr>
          <w:rFonts w:hint="eastAsia" w:ascii="仿宋" w:hAnsi="仿宋" w:eastAsia="仿宋" w:cs="仿宋"/>
          <w:color w:val="000000"/>
          <w:szCs w:val="21"/>
          <w:lang w:eastAsia="zh-CN"/>
        </w:rPr>
        <w:t>参与者</w:t>
      </w:r>
      <w:r>
        <w:rPr>
          <w:rFonts w:hint="eastAsia" w:ascii="仿宋" w:hAnsi="仿宋" w:eastAsia="仿宋" w:cs="仿宋"/>
          <w:color w:val="000000"/>
          <w:szCs w:val="21"/>
        </w:rPr>
        <w:t>编号、SAE/SUSAR、具体诊断、与该临床研究的相关性、预期性、</w:t>
      </w:r>
      <w:r>
        <w:rPr>
          <w:rFonts w:hint="eastAsia" w:ascii="仿宋" w:hAnsi="仿宋" w:eastAsia="仿宋" w:cs="仿宋"/>
          <w:color w:val="000000"/>
          <w:szCs w:val="21"/>
          <w:lang w:eastAsia="zh-CN"/>
        </w:rPr>
        <w:t>参与者</w:t>
      </w:r>
      <w:r>
        <w:rPr>
          <w:rFonts w:hint="eastAsia" w:ascii="仿宋" w:hAnsi="仿宋" w:eastAsia="仿宋" w:cs="仿宋"/>
          <w:color w:val="000000"/>
          <w:szCs w:val="21"/>
        </w:rPr>
        <w:t>转归和是否赔偿。</w:t>
      </w:r>
      <w:r>
        <w:rPr>
          <w:rFonts w:hint="eastAsia" w:ascii="仿宋" w:hAnsi="仿宋" w:eastAsia="仿宋" w:cs="仿宋"/>
          <w:color w:val="000000"/>
          <w:szCs w:val="21"/>
        </w:rPr>
        <w:fldChar w:fldCharType="begin"/>
      </w:r>
      <w:r>
        <w:rPr>
          <w:rFonts w:hint="eastAsia" w:ascii="仿宋" w:hAnsi="仿宋" w:eastAsia="仿宋" w:cs="仿宋"/>
          <w:color w:val="000000"/>
          <w:szCs w:val="21"/>
        </w:rPr>
        <w:instrText xml:space="preserve"> = 3 \* GB3 </w:instrText>
      </w:r>
      <w:r>
        <w:rPr>
          <w:rFonts w:hint="eastAsia" w:ascii="仿宋" w:hAnsi="仿宋" w:eastAsia="仿宋" w:cs="仿宋"/>
          <w:color w:val="000000"/>
          <w:szCs w:val="21"/>
        </w:rPr>
        <w:fldChar w:fldCharType="separate"/>
      </w:r>
      <w:r>
        <w:rPr>
          <w:rFonts w:hint="eastAsia" w:ascii="仿宋" w:hAnsi="仿宋" w:eastAsia="仿宋" w:cs="仿宋"/>
          <w:color w:val="000000"/>
          <w:szCs w:val="21"/>
        </w:rPr>
        <w:t>③</w:t>
      </w:r>
      <w:r>
        <w:rPr>
          <w:rFonts w:hint="eastAsia" w:ascii="仿宋" w:hAnsi="仿宋" w:eastAsia="仿宋" w:cs="仿宋"/>
          <w:color w:val="000000"/>
          <w:szCs w:val="21"/>
        </w:rPr>
        <w:fldChar w:fldCharType="end"/>
      </w:r>
      <w:r>
        <w:rPr>
          <w:rFonts w:hint="eastAsia" w:ascii="仿宋" w:hAnsi="仿宋" w:eastAsia="仿宋" w:cs="仿宋"/>
          <w:color w:val="000000"/>
          <w:szCs w:val="21"/>
        </w:rPr>
        <w:t>“违背/偏离方案一览表”至少应</w:t>
      </w:r>
      <w:r>
        <w:rPr>
          <w:rFonts w:hint="eastAsia" w:ascii="仿宋" w:hAnsi="仿宋" w:eastAsia="仿宋" w:cs="仿宋"/>
          <w:bCs/>
          <w:color w:val="000000"/>
          <w:szCs w:val="21"/>
        </w:rPr>
        <w:t>包括</w:t>
      </w:r>
      <w:r>
        <w:rPr>
          <w:rFonts w:hint="eastAsia" w:ascii="仿宋" w:hAnsi="仿宋" w:eastAsia="仿宋" w:cs="仿宋"/>
          <w:bCs/>
          <w:color w:val="000000"/>
          <w:szCs w:val="21"/>
          <w:lang w:eastAsia="zh-CN"/>
        </w:rPr>
        <w:t>参与者</w:t>
      </w:r>
      <w:r>
        <w:rPr>
          <w:rFonts w:hint="eastAsia" w:ascii="仿宋" w:hAnsi="仿宋" w:eastAsia="仿宋" w:cs="仿宋"/>
          <w:bCs/>
          <w:color w:val="000000"/>
          <w:szCs w:val="21"/>
        </w:rPr>
        <w:t>编号、发生日期、发现日期、违背/偏离方案类型、事件描述、事件发生的原因、对</w:t>
      </w:r>
      <w:r>
        <w:rPr>
          <w:rFonts w:hint="eastAsia" w:ascii="仿宋" w:hAnsi="仿宋" w:eastAsia="仿宋" w:cs="仿宋"/>
          <w:bCs/>
          <w:color w:val="000000"/>
          <w:szCs w:val="21"/>
          <w:lang w:eastAsia="zh-CN"/>
        </w:rPr>
        <w:t>参与者</w:t>
      </w:r>
      <w:r>
        <w:rPr>
          <w:rFonts w:hint="eastAsia" w:ascii="仿宋" w:hAnsi="仿宋" w:eastAsia="仿宋" w:cs="仿宋"/>
          <w:bCs/>
          <w:color w:val="000000"/>
          <w:szCs w:val="21"/>
        </w:rPr>
        <w:t>的影响、对研究结果的影响和处理措施。其中，方案违背类型：</w:t>
      </w:r>
    </w:p>
    <w:p w14:paraId="200C7EF9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1.严重偏离方案</w:t>
      </w:r>
    </w:p>
    <w:p w14:paraId="1A6FECB4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1.1研究纳入了不符合纳入标准或符合排除标准的</w:t>
      </w:r>
      <w:r>
        <w:rPr>
          <w:rFonts w:hint="eastAsia" w:ascii="仿宋" w:hAnsi="仿宋" w:eastAsia="仿宋" w:cs="仿宋"/>
          <w:color w:val="000000"/>
          <w:szCs w:val="21"/>
          <w:lang w:eastAsia="zh-CN"/>
        </w:rPr>
        <w:t>参与者</w:t>
      </w:r>
      <w:r>
        <w:rPr>
          <w:rFonts w:hint="eastAsia" w:ascii="仿宋" w:hAnsi="仿宋" w:eastAsia="仿宋" w:cs="仿宋"/>
          <w:color w:val="000000"/>
          <w:szCs w:val="21"/>
        </w:rPr>
        <w:t>；</w:t>
      </w:r>
    </w:p>
    <w:p w14:paraId="52D86B7D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1.2符合中止试验规定而未让</w:t>
      </w:r>
      <w:r>
        <w:rPr>
          <w:rFonts w:hint="eastAsia" w:ascii="仿宋" w:hAnsi="仿宋" w:eastAsia="仿宋" w:cs="仿宋"/>
          <w:color w:val="000000"/>
          <w:szCs w:val="21"/>
          <w:lang w:eastAsia="zh-CN"/>
        </w:rPr>
        <w:t>参与者</w:t>
      </w:r>
      <w:r>
        <w:rPr>
          <w:rFonts w:hint="eastAsia" w:ascii="仿宋" w:hAnsi="仿宋" w:eastAsia="仿宋" w:cs="仿宋"/>
          <w:color w:val="000000"/>
          <w:szCs w:val="21"/>
        </w:rPr>
        <w:t>退出研究；</w:t>
      </w:r>
    </w:p>
    <w:p w14:paraId="53A079CB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1.3给予</w:t>
      </w:r>
      <w:r>
        <w:rPr>
          <w:rFonts w:hint="eastAsia" w:ascii="仿宋" w:hAnsi="仿宋" w:eastAsia="仿宋" w:cs="仿宋"/>
          <w:color w:val="000000"/>
          <w:szCs w:val="21"/>
          <w:lang w:eastAsia="zh-CN"/>
        </w:rPr>
        <w:t>参与者</w:t>
      </w:r>
      <w:r>
        <w:rPr>
          <w:rFonts w:hint="eastAsia" w:ascii="仿宋" w:hAnsi="仿宋" w:eastAsia="仿宋" w:cs="仿宋"/>
          <w:color w:val="000000"/>
          <w:szCs w:val="21"/>
        </w:rPr>
        <w:t>错误治疗或剂量；</w:t>
      </w:r>
    </w:p>
    <w:p w14:paraId="4E6D435A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1.4给予</w:t>
      </w:r>
      <w:r>
        <w:rPr>
          <w:rFonts w:hint="eastAsia" w:ascii="仿宋" w:hAnsi="仿宋" w:eastAsia="仿宋" w:cs="仿宋"/>
          <w:color w:val="000000"/>
          <w:szCs w:val="21"/>
          <w:lang w:eastAsia="zh-CN"/>
        </w:rPr>
        <w:t>参与者</w:t>
      </w:r>
      <w:r>
        <w:rPr>
          <w:rFonts w:hint="eastAsia" w:ascii="仿宋" w:hAnsi="仿宋" w:eastAsia="仿宋" w:cs="仿宋"/>
          <w:color w:val="000000"/>
          <w:szCs w:val="21"/>
        </w:rPr>
        <w:t>方案禁止的合并用药；</w:t>
      </w:r>
    </w:p>
    <w:p w14:paraId="50BDAF08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1.5可能对</w:t>
      </w:r>
      <w:r>
        <w:rPr>
          <w:rFonts w:hint="eastAsia" w:ascii="仿宋" w:hAnsi="仿宋" w:eastAsia="仿宋" w:cs="仿宋"/>
          <w:color w:val="000000"/>
          <w:szCs w:val="21"/>
          <w:lang w:eastAsia="zh-CN"/>
        </w:rPr>
        <w:t>参与者</w:t>
      </w:r>
      <w:r>
        <w:rPr>
          <w:rFonts w:hint="eastAsia" w:ascii="仿宋" w:hAnsi="仿宋" w:eastAsia="仿宋" w:cs="仿宋"/>
          <w:color w:val="000000"/>
          <w:szCs w:val="21"/>
        </w:rPr>
        <w:t>的权益</w:t>
      </w:r>
      <w:r>
        <w:rPr>
          <w:rFonts w:ascii="仿宋" w:hAnsi="仿宋" w:eastAsia="仿宋" w:cs="仿宋"/>
          <w:color w:val="000000"/>
          <w:szCs w:val="21"/>
        </w:rPr>
        <w:t>/健康和安全以及研究的科学性造成显著影响等违背GCP原则的情况</w:t>
      </w:r>
      <w:r>
        <w:rPr>
          <w:rFonts w:hint="eastAsia" w:ascii="仿宋" w:hAnsi="仿宋" w:eastAsia="仿宋" w:cs="仿宋"/>
          <w:color w:val="000000"/>
          <w:szCs w:val="21"/>
        </w:rPr>
        <w:t>；</w:t>
      </w:r>
    </w:p>
    <w:p w14:paraId="17F0AFDC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2.持续偏离方案（不属于上述严重偏离方案，但反复多次的违背方案）；</w:t>
      </w:r>
    </w:p>
    <w:p w14:paraId="07973842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3.</w:t>
      </w:r>
      <w:r>
        <w:rPr>
          <w:rFonts w:hint="eastAsia" w:ascii="仿宋" w:hAnsi="仿宋" w:eastAsia="仿宋" w:cs="仿宋"/>
          <w:color w:val="000000"/>
          <w:szCs w:val="21"/>
          <w:lang w:eastAsia="zh-CN"/>
        </w:rPr>
        <w:t>主要研究者</w:t>
      </w:r>
      <w:r>
        <w:rPr>
          <w:rFonts w:hint="eastAsia" w:ascii="仿宋" w:hAnsi="仿宋" w:eastAsia="仿宋" w:cs="仿宋"/>
          <w:color w:val="000000"/>
          <w:szCs w:val="21"/>
        </w:rPr>
        <w:t>不配合监察/稽查；</w:t>
      </w:r>
    </w:p>
    <w:p w14:paraId="4F55EB55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4.对违规事件不予以纠正；</w:t>
      </w:r>
    </w:p>
    <w:p w14:paraId="2E31EDED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5.其它违背方案。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418" w:header="851" w:footer="851" w:gutter="34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592062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14:paraId="08239202">
            <w:pPr>
              <w:pStyle w:val="3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317458">
    <w:pPr>
      <w:pStyle w:val="3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AC398">
    <w:pPr>
      <w:pStyle w:val="3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292D1">
    <w:pPr>
      <w:pStyle w:val="4"/>
      <w:pBdr>
        <w:bottom w:val="single" w:color="auto" w:sz="6" w:space="2"/>
      </w:pBdr>
      <w:jc w:val="left"/>
      <w:rPr>
        <w:rFonts w:ascii="Times New Roman" w:hAnsi="Times New Roman" w:cs="Times New Roman"/>
      </w:rPr>
    </w:pPr>
    <w:r>
      <w:rPr>
        <w:rFonts w:hint="eastAsia" w:ascii="Times New Roman" w:hAnsi="Times New Roman" w:eastAsia="宋体" w:cs="Times New Roman"/>
      </w:rPr>
      <w:t>惠阳三和医院伦理</w:t>
    </w:r>
    <w:r>
      <w:rPr>
        <w:rFonts w:hint="eastAsia" w:ascii="Times New Roman" w:hAnsi="Times New Roman" w:eastAsia="宋体" w:cs="Times New Roman"/>
        <w:lang w:val="en-US" w:eastAsia="zh-CN"/>
      </w:rPr>
      <w:t>审查</w:t>
    </w:r>
    <w:r>
      <w:rPr>
        <w:rFonts w:hint="eastAsia" w:ascii="Times New Roman" w:hAnsi="Times New Roman" w:eastAsia="宋体" w:cs="Times New Roman"/>
      </w:rPr>
      <w:t xml:space="preserve">委员会                </w:t>
    </w:r>
    <w:r>
      <w:rPr>
        <w:rFonts w:hint="eastAsia" w:ascii="宋体" w:hAnsi="宋体"/>
      </w:rPr>
      <w:t xml:space="preserve">      </w:t>
    </w:r>
    <w:r>
      <w:rPr>
        <w:rFonts w:ascii="宋体" w:hAnsi="宋体"/>
      </w:rPr>
      <w:t xml:space="preserve">  </w:t>
    </w:r>
    <w:r>
      <w:rPr>
        <w:rFonts w:hint="eastAsia" w:ascii="宋体" w:hAnsi="宋体"/>
      </w:rPr>
      <w:t xml:space="preserve">                  </w:t>
    </w:r>
    <w:r>
      <w:rPr>
        <w:rFonts w:ascii="Times New Roman" w:hAnsi="宋体" w:cs="Times New Roman"/>
      </w:rPr>
      <w:t>文件编号：</w:t>
    </w:r>
    <w:r>
      <w:rPr>
        <w:rFonts w:ascii="Times New Roman" w:hAnsi="Times New Roman" w:cs="Times New Roman"/>
      </w:rPr>
      <w:t>AF/</w:t>
    </w:r>
    <w:r>
      <w:rPr>
        <w:rFonts w:hint="eastAsia" w:ascii="Times New Roman" w:hAnsi="Times New Roman" w:cs="Times New Roman"/>
      </w:rPr>
      <w:t>SS-</w:t>
    </w:r>
    <w:r>
      <w:rPr>
        <w:rFonts w:hint="eastAsia" w:ascii="Times New Roman" w:hAnsi="Times New Roman" w:cs="Times New Roman"/>
        <w:lang w:val="en-US" w:eastAsia="zh-CN"/>
      </w:rPr>
      <w:t>08</w:t>
    </w:r>
    <w:r>
      <w:rPr>
        <w:rFonts w:hint="eastAsia" w:ascii="Times New Roman" w:hAnsi="Times New Roman" w:cs="Times New Roman"/>
      </w:rPr>
      <w:t>/01.0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2853F">
    <w:pPr>
      <w:pStyle w:val="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0A68E3">
    <w:pPr>
      <w:pStyle w:val="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17808"/>
    <w:rsid w:val="000A1CEC"/>
    <w:rsid w:val="001029CD"/>
    <w:rsid w:val="00142730"/>
    <w:rsid w:val="001A448A"/>
    <w:rsid w:val="002069B5"/>
    <w:rsid w:val="002363A1"/>
    <w:rsid w:val="002F3768"/>
    <w:rsid w:val="00304DE8"/>
    <w:rsid w:val="0039728A"/>
    <w:rsid w:val="003C2EE2"/>
    <w:rsid w:val="003E293C"/>
    <w:rsid w:val="005204FA"/>
    <w:rsid w:val="00522A4F"/>
    <w:rsid w:val="005521BB"/>
    <w:rsid w:val="005767AB"/>
    <w:rsid w:val="00595F51"/>
    <w:rsid w:val="005E77A0"/>
    <w:rsid w:val="00683A0D"/>
    <w:rsid w:val="006850C5"/>
    <w:rsid w:val="00691881"/>
    <w:rsid w:val="006A05B1"/>
    <w:rsid w:val="006A1EEC"/>
    <w:rsid w:val="007140C8"/>
    <w:rsid w:val="007847BE"/>
    <w:rsid w:val="00847160"/>
    <w:rsid w:val="00855FD0"/>
    <w:rsid w:val="00857C79"/>
    <w:rsid w:val="0087156E"/>
    <w:rsid w:val="008F5756"/>
    <w:rsid w:val="0093733A"/>
    <w:rsid w:val="009A0EEC"/>
    <w:rsid w:val="009E171D"/>
    <w:rsid w:val="00A02C52"/>
    <w:rsid w:val="00A052BF"/>
    <w:rsid w:val="00A60283"/>
    <w:rsid w:val="00A63C74"/>
    <w:rsid w:val="00A82575"/>
    <w:rsid w:val="00A907CB"/>
    <w:rsid w:val="00AB4C3A"/>
    <w:rsid w:val="00B577C5"/>
    <w:rsid w:val="00C07C6B"/>
    <w:rsid w:val="00C17808"/>
    <w:rsid w:val="00C936E4"/>
    <w:rsid w:val="00CA5552"/>
    <w:rsid w:val="00DC27F9"/>
    <w:rsid w:val="00F10854"/>
    <w:rsid w:val="00FE2968"/>
    <w:rsid w:val="3274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0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styleId="11">
    <w:name w:val="Placeholder Text"/>
    <w:basedOn w:val="7"/>
    <w:semiHidden/>
    <w:qFormat/>
    <w:uiPriority w:val="99"/>
    <w:rPr>
      <w:color w:val="808080"/>
    </w:rPr>
  </w:style>
  <w:style w:type="character" w:customStyle="1" w:styleId="12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874</Words>
  <Characters>953</Characters>
  <Lines>8</Lines>
  <Paragraphs>2</Paragraphs>
  <TotalTime>34</TotalTime>
  <ScaleCrop>false</ScaleCrop>
  <LinksUpToDate>false</LinksUpToDate>
  <CharactersWithSpaces>1080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2021-06-27T10:31:00Z</dcterms:created>
  <dc:creator>丁林杰</dc:creator>
  <cp:lastModifiedBy>Administrator</cp:lastModifiedBy>
  <dcterms:modified xsi:type="dcterms:W3CDTF">2026-06-27T02:50:24Z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eyJoZGlkIjoiOGZjYjQ0ODE2MjY2YTFjMTM4MWMwM2I3MGIzNDcyMzQiLCJ1c2VySWQiOiI3MTQ5MzM0NjIifQ==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3F5BE440C0E24BE1965DC89CE8D5727B_12</vt:lpwstr>
  </property>
</Properties>
</file>